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740C" w14:textId="4AFB47B7" w:rsidR="00531D3C" w:rsidRPr="00377707" w:rsidRDefault="00531D3C" w:rsidP="00C131A9">
      <w:pPr>
        <w:spacing w:after="480" w:line="278" w:lineRule="auto"/>
        <w:jc w:val="center"/>
        <w:rPr>
          <w:rFonts w:asciiTheme="minorHAnsi" w:eastAsiaTheme="minorHAnsi" w:hAnsiTheme="minorHAnsi" w:cstheme="minorHAnsi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377707">
        <w:rPr>
          <w:rFonts w:asciiTheme="minorHAnsi" w:eastAsiaTheme="minorHAnsi" w:hAnsiTheme="minorHAnsi" w:cstheme="minorHAnsi"/>
          <w:b/>
          <w:bCs/>
          <w:kern w:val="2"/>
          <w:sz w:val="32"/>
          <w:szCs w:val="32"/>
          <w:lang w:eastAsia="en-US"/>
          <w14:ligatures w14:val="standardContextual"/>
        </w:rPr>
        <w:t xml:space="preserve">Adatkezelési tájékoztató </w:t>
      </w:r>
      <w:r w:rsidR="00C131A9" w:rsidRPr="00377707">
        <w:rPr>
          <w:rFonts w:asciiTheme="minorHAnsi" w:eastAsiaTheme="minorHAnsi" w:hAnsiTheme="minorHAnsi" w:cstheme="minorHAnsi"/>
          <w:b/>
          <w:bCs/>
          <w:kern w:val="2"/>
          <w:sz w:val="32"/>
          <w:szCs w:val="32"/>
          <w:lang w:eastAsia="en-US"/>
          <w14:ligatures w14:val="standardContextual"/>
        </w:rPr>
        <w:br/>
        <w:t>nyereményjátékban történő részvétel kapcsán</w:t>
      </w:r>
    </w:p>
    <w:p w14:paraId="1F2324E0" w14:textId="641D217E" w:rsidR="00531D3C" w:rsidRPr="00377707" w:rsidRDefault="00531D3C" w:rsidP="00531D3C">
      <w:pPr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A </w:t>
      </w:r>
      <w:proofErr w:type="spellStart"/>
      <w:r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Profirent</w:t>
      </w:r>
      <w:proofErr w:type="spellEnd"/>
      <w:r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Gépkölcsönző Kft. (székhely: 1202 Budapest, Nagykőrösi út 275., képviseli: dr. Antal Erzsébet ügyvezető, adószám: 10662267-2-43, cégjegyzékszám: 01-09-161788, e-mail: </w:t>
      </w:r>
      <w:hyperlink r:id="rId7" w:history="1">
        <w:r w:rsidR="00ED6F36" w:rsidRPr="00377707">
          <w:rPr>
            <w:rFonts w:asciiTheme="minorHAnsi" w:eastAsiaTheme="minorHAnsi" w:hAnsiTheme="minorHAnsi" w:cstheme="minorHAnsi"/>
            <w:kern w:val="2"/>
            <w:sz w:val="24"/>
            <w:szCs w:val="24"/>
            <w:lang w:eastAsia="en-US"/>
            <w14:ligatures w14:val="standardContextual"/>
          </w:rPr>
          <w:t>profirent@profirent.hu</w:t>
        </w:r>
      </w:hyperlink>
      <w:r w:rsidR="00ED6F36"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adatvédelmi tisztviselő neve és elérhetősége: </w:t>
      </w:r>
      <w:r w:rsidR="00DD2718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dr</w:t>
      </w:r>
      <w:r w:rsidR="00ED6F36"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. Bölcskei Krisztián</w:t>
      </w:r>
      <w:r w:rsidR="00DD2718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LL.</w:t>
      </w:r>
      <w:r w:rsidR="000B6E00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M</w:t>
      </w:r>
      <w:r w:rsidR="00ED6F36"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, postai úton elérhető </w:t>
      </w:r>
      <w:r w:rsidR="00AB3E61"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az Adatkezelő székhelyén, elektronikus úton a </w:t>
      </w:r>
      <w:hyperlink r:id="rId8" w:history="1">
        <w:r w:rsidR="00AB3E61" w:rsidRPr="00377707">
          <w:rPr>
            <w:rFonts w:asciiTheme="minorHAnsi" w:eastAsiaTheme="minorHAnsi" w:hAnsiTheme="minorHAnsi" w:cstheme="minorHAnsi"/>
            <w:kern w:val="2"/>
            <w:sz w:val="24"/>
            <w:szCs w:val="24"/>
            <w:lang w:eastAsia="en-US"/>
            <w14:ligatures w14:val="standardContextual"/>
          </w:rPr>
          <w:t>dr.bolcskei.krisztian@adatvedelmiauditor.hu</w:t>
        </w:r>
      </w:hyperlink>
      <w:r w:rsidR="00AB3E61"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címen</w:t>
      </w:r>
      <w:r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), mint Adatkezelő ezúton tájékoztatja Önt összefoglalóan és röviden az Általános Adatvédelmi rendelet (GDPR) 13-14. cikkeinek rendelkezései alapján, az általa végzett adatkezelés releváns részleteiről és egyéb érdemi tényeiről. Az átlátható tájékoztatás érdekében az adatkezelés táblázatos formátumban kapott helyet</w:t>
      </w:r>
      <w:r w:rsidR="00C131A9"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,</w:t>
      </w:r>
      <w:r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az Ön jogai és joggyakorlásának részletei pedig az adatkezelési tájékoztató végén olvashatók.</w:t>
      </w:r>
    </w:p>
    <w:p w14:paraId="224A6CA2" w14:textId="77777777" w:rsidR="00531D3C" w:rsidRPr="00377707" w:rsidRDefault="00531D3C" w:rsidP="00531D3C">
      <w:pPr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835"/>
        <w:gridCol w:w="2126"/>
      </w:tblGrid>
      <w:tr w:rsidR="00531D3C" w:rsidRPr="00377707" w14:paraId="716BFD63" w14:textId="77777777" w:rsidTr="00614F99">
        <w:trPr>
          <w:trHeight w:val="330"/>
        </w:trPr>
        <w:tc>
          <w:tcPr>
            <w:tcW w:w="4106" w:type="dxa"/>
            <w:shd w:val="pct10" w:color="auto" w:fill="auto"/>
            <w:noWrap/>
            <w:vAlign w:val="center"/>
          </w:tcPr>
          <w:p w14:paraId="1C3652BA" w14:textId="77777777" w:rsidR="00531D3C" w:rsidRPr="00377707" w:rsidRDefault="00531D3C" w:rsidP="00614F99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Mi az adatkezelés célja?</w:t>
            </w:r>
          </w:p>
        </w:tc>
        <w:tc>
          <w:tcPr>
            <w:tcW w:w="4961" w:type="dxa"/>
            <w:gridSpan w:val="2"/>
          </w:tcPr>
          <w:p w14:paraId="6B10752C" w14:textId="50E7F2F3" w:rsidR="00531D3C" w:rsidRPr="00377707" w:rsidRDefault="00C131A9" w:rsidP="00614F99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Nyereményjátékban történő részvétel, így cél a sorsoláson történő részvétel, nyertesség esetén a kapcsolatfelvétel, a nyeremény átadása</w:t>
            </w:r>
          </w:p>
        </w:tc>
      </w:tr>
      <w:tr w:rsidR="00A55FA3" w:rsidRPr="00377707" w14:paraId="3BF1DE2F" w14:textId="77777777" w:rsidTr="00614F99">
        <w:trPr>
          <w:trHeight w:val="330"/>
        </w:trPr>
        <w:tc>
          <w:tcPr>
            <w:tcW w:w="4106" w:type="dxa"/>
            <w:shd w:val="pct10" w:color="auto" w:fill="auto"/>
            <w:noWrap/>
            <w:vAlign w:val="center"/>
          </w:tcPr>
          <w:p w14:paraId="56E4A817" w14:textId="77777777" w:rsidR="00A55FA3" w:rsidRPr="00377707" w:rsidRDefault="00A55FA3" w:rsidP="00A55FA3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Kik az érintettek?</w:t>
            </w:r>
          </w:p>
        </w:tc>
        <w:tc>
          <w:tcPr>
            <w:tcW w:w="4961" w:type="dxa"/>
            <w:gridSpan w:val="2"/>
          </w:tcPr>
          <w:p w14:paraId="1D114E34" w14:textId="2BF10FDB" w:rsidR="00A55FA3" w:rsidRPr="00377707" w:rsidRDefault="002D16AD" w:rsidP="00A55FA3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Nyereményjátékban részt vevő természetes személyek</w:t>
            </w:r>
          </w:p>
        </w:tc>
      </w:tr>
      <w:tr w:rsidR="00A55FA3" w:rsidRPr="00377707" w14:paraId="1156DC00" w14:textId="77777777" w:rsidTr="00614F99">
        <w:trPr>
          <w:trHeight w:val="330"/>
        </w:trPr>
        <w:tc>
          <w:tcPr>
            <w:tcW w:w="4106" w:type="dxa"/>
            <w:tcBorders>
              <w:bottom w:val="single" w:sz="4" w:space="0" w:color="auto"/>
            </w:tcBorders>
            <w:shd w:val="pct10" w:color="auto" w:fill="auto"/>
            <w:noWrap/>
            <w:vAlign w:val="center"/>
          </w:tcPr>
          <w:p w14:paraId="48E57AE1" w14:textId="77777777" w:rsidR="00A55FA3" w:rsidRPr="00377707" w:rsidRDefault="00A55FA3" w:rsidP="00A55FA3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Ki/mi az adatok forrása?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26A7E05B" w14:textId="77777777" w:rsidR="00A55FA3" w:rsidRPr="00377707" w:rsidRDefault="00A55FA3" w:rsidP="00A55FA3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Érintett(</w:t>
            </w:r>
            <w:proofErr w:type="spellStart"/>
            <w:r w:rsidRPr="0037770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ek</w:t>
            </w:r>
            <w:proofErr w:type="spellEnd"/>
            <w:r w:rsidRPr="0037770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).</w:t>
            </w:r>
          </w:p>
        </w:tc>
      </w:tr>
      <w:tr w:rsidR="00A55FA3" w:rsidRPr="00377707" w14:paraId="0B55180C" w14:textId="77777777" w:rsidTr="00614F99">
        <w:trPr>
          <w:trHeight w:val="330"/>
        </w:trPr>
        <w:tc>
          <w:tcPr>
            <w:tcW w:w="4106" w:type="dxa"/>
            <w:shd w:val="pct10" w:color="auto" w:fill="auto"/>
            <w:noWrap/>
            <w:vAlign w:val="center"/>
            <w:hideMark/>
          </w:tcPr>
          <w:p w14:paraId="4C42B6C7" w14:textId="77777777" w:rsidR="00A55FA3" w:rsidRPr="00377707" w:rsidRDefault="00A55FA3" w:rsidP="00A55FA3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Melyek a kezelt adatok kategóriái, körei?</w:t>
            </w:r>
          </w:p>
        </w:tc>
        <w:tc>
          <w:tcPr>
            <w:tcW w:w="2835" w:type="dxa"/>
            <w:shd w:val="pct10" w:color="auto" w:fill="auto"/>
          </w:tcPr>
          <w:p w14:paraId="366AD4C6" w14:textId="77777777" w:rsidR="00A55FA3" w:rsidRPr="00377707" w:rsidRDefault="00A55FA3" w:rsidP="00A55FA3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Mi az egyes adatkategóriák, körök célja?</w:t>
            </w:r>
          </w:p>
        </w:tc>
        <w:tc>
          <w:tcPr>
            <w:tcW w:w="2126" w:type="dxa"/>
            <w:shd w:val="pct10" w:color="auto" w:fill="auto"/>
          </w:tcPr>
          <w:p w14:paraId="3B7179A9" w14:textId="77777777" w:rsidR="00A55FA3" w:rsidRPr="00377707" w:rsidRDefault="00A55FA3" w:rsidP="00A55FA3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Mi az adatkezelés jogalapja?</w:t>
            </w:r>
          </w:p>
        </w:tc>
      </w:tr>
      <w:tr w:rsidR="00351A1E" w:rsidRPr="00377707" w14:paraId="6AC52B46" w14:textId="77777777" w:rsidTr="00614F99">
        <w:trPr>
          <w:trHeight w:val="330"/>
        </w:trPr>
        <w:tc>
          <w:tcPr>
            <w:tcW w:w="4106" w:type="dxa"/>
            <w:shd w:val="clear" w:color="auto" w:fill="auto"/>
            <w:noWrap/>
            <w:vAlign w:val="center"/>
          </w:tcPr>
          <w:p w14:paraId="5A883B0E" w14:textId="0C307176" w:rsidR="00351A1E" w:rsidRPr="00377707" w:rsidRDefault="00351A1E" w:rsidP="00C71628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Hozzájáruló nyilatkozatban meghatározott adatok (név, telefonszám, e-mail cím, keltezés, aláírás)</w:t>
            </w:r>
            <w:r w:rsidR="00931A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és a hozzájáruló nyilatkozathoz hozzárendelt sorszám</w:t>
            </w:r>
          </w:p>
        </w:tc>
        <w:tc>
          <w:tcPr>
            <w:tcW w:w="2835" w:type="dxa"/>
          </w:tcPr>
          <w:p w14:paraId="374E78DB" w14:textId="097C35C5" w:rsidR="00351A1E" w:rsidRPr="00377707" w:rsidRDefault="00351A1E" w:rsidP="00C71628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azonosítás és kapcsolattartás, későbbi bizonyítás</w:t>
            </w:r>
          </w:p>
        </w:tc>
        <w:tc>
          <w:tcPr>
            <w:tcW w:w="2126" w:type="dxa"/>
            <w:vMerge w:val="restart"/>
          </w:tcPr>
          <w:p w14:paraId="21A8FB80" w14:textId="355EC9BD" w:rsidR="00351A1E" w:rsidRPr="00377707" w:rsidRDefault="00351A1E" w:rsidP="00C71628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önkéntes hozzájárulás (GDPR 6. cikk (1) a) pontja)</w:t>
            </w:r>
          </w:p>
        </w:tc>
      </w:tr>
      <w:tr w:rsidR="00351A1E" w:rsidRPr="00377707" w14:paraId="26197536" w14:textId="77777777" w:rsidTr="00614F99">
        <w:trPr>
          <w:trHeight w:val="330"/>
        </w:trPr>
        <w:tc>
          <w:tcPr>
            <w:tcW w:w="4106" w:type="dxa"/>
            <w:shd w:val="clear" w:color="auto" w:fill="auto"/>
            <w:noWrap/>
            <w:vAlign w:val="center"/>
          </w:tcPr>
          <w:p w14:paraId="291A0B1A" w14:textId="52F42E8B" w:rsidR="00351A1E" w:rsidRPr="00377707" w:rsidRDefault="00351A1E" w:rsidP="00C71628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Sorolás</w:t>
            </w:r>
            <w: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hoz felhasznált </w:t>
            </w:r>
            <w:r w:rsidRPr="0037770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adatok:</w:t>
            </w:r>
            <w:r w:rsidR="00780E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931AFC" w:rsidRPr="00931A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hozzájáruló nyilatkozat</w:t>
            </w:r>
            <w:r w:rsidR="00931A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hoz hozzárendelt</w:t>
            </w:r>
            <w:r w:rsidR="00931AFC" w:rsidRPr="00931A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780E38" w:rsidRPr="00931A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sorszám</w:t>
            </w:r>
          </w:p>
        </w:tc>
        <w:tc>
          <w:tcPr>
            <w:tcW w:w="2835" w:type="dxa"/>
          </w:tcPr>
          <w:p w14:paraId="6728A2DC" w14:textId="4F356277" w:rsidR="00351A1E" w:rsidRPr="00377707" w:rsidRDefault="006B0240" w:rsidP="00C71628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sorsolás végrehajtása</w:t>
            </w:r>
          </w:p>
        </w:tc>
        <w:tc>
          <w:tcPr>
            <w:tcW w:w="2126" w:type="dxa"/>
            <w:vMerge/>
          </w:tcPr>
          <w:p w14:paraId="1CFCB787" w14:textId="77777777" w:rsidR="00351A1E" w:rsidRPr="00377707" w:rsidRDefault="00351A1E" w:rsidP="00C71628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351A1E" w:rsidRPr="00377707" w14:paraId="69AB34D7" w14:textId="77777777" w:rsidTr="00614F99">
        <w:trPr>
          <w:trHeight w:val="330"/>
        </w:trPr>
        <w:tc>
          <w:tcPr>
            <w:tcW w:w="4106" w:type="dxa"/>
            <w:shd w:val="clear" w:color="auto" w:fill="auto"/>
            <w:noWrap/>
            <w:vAlign w:val="center"/>
          </w:tcPr>
          <w:p w14:paraId="39B250D0" w14:textId="3CC639F3" w:rsidR="00351A1E" w:rsidRPr="00377707" w:rsidRDefault="00351A1E" w:rsidP="00C71628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Sorsolással összefüggésben kezelt további adatok: s</w:t>
            </w:r>
            <w:r w:rsidRPr="0037770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orsolás időpontja, nyertesség esetén ennek ténye</w:t>
            </w:r>
          </w:p>
        </w:tc>
        <w:tc>
          <w:tcPr>
            <w:tcW w:w="2835" w:type="dxa"/>
          </w:tcPr>
          <w:p w14:paraId="08D31E3F" w14:textId="6970412D" w:rsidR="00351A1E" w:rsidRPr="00377707" w:rsidRDefault="00351A1E" w:rsidP="00C71628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későbbi visszakereshetőség</w:t>
            </w:r>
          </w:p>
        </w:tc>
        <w:tc>
          <w:tcPr>
            <w:tcW w:w="2126" w:type="dxa"/>
            <w:vMerge/>
          </w:tcPr>
          <w:p w14:paraId="263C12D5" w14:textId="77777777" w:rsidR="00351A1E" w:rsidRPr="00377707" w:rsidRDefault="00351A1E" w:rsidP="00C71628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351A1E" w:rsidRPr="00377707" w14:paraId="199F3FC0" w14:textId="77777777" w:rsidTr="00614F99">
        <w:trPr>
          <w:trHeight w:val="330"/>
        </w:trPr>
        <w:tc>
          <w:tcPr>
            <w:tcW w:w="4106" w:type="dxa"/>
            <w:shd w:val="clear" w:color="auto" w:fill="auto"/>
            <w:noWrap/>
            <w:vAlign w:val="center"/>
          </w:tcPr>
          <w:p w14:paraId="0F379BF5" w14:textId="5804AFE0" w:rsidR="00351A1E" w:rsidRDefault="00351A1E" w:rsidP="00AC0D27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Nyertesség esetén a </w:t>
            </w:r>
            <w:r w:rsidRPr="0037770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kapcsolatfelvétel</w:t>
            </w:r>
            <w:r w:rsidR="00931A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hez felhasznált adatok (</w:t>
            </w:r>
            <w:r w:rsidR="00931AFC" w:rsidRPr="00931A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email cím, telefonszám</w:t>
            </w:r>
            <w:r w:rsidR="00931A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  <w:r w:rsidRPr="0037770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931AFC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a kapcsolatfelvétel </w:t>
            </w:r>
            <w:r w:rsidRPr="0037770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időpontja, nyeremény átvételének ténye, időpontja</w:t>
            </w:r>
          </w:p>
        </w:tc>
        <w:tc>
          <w:tcPr>
            <w:tcW w:w="2835" w:type="dxa"/>
          </w:tcPr>
          <w:p w14:paraId="6366C17F" w14:textId="23474DBD" w:rsidR="00351A1E" w:rsidRPr="00377707" w:rsidRDefault="006B0240" w:rsidP="00AC0D27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kapcsolatfelvétel és </w:t>
            </w:r>
            <w:r w:rsidR="00351A1E" w:rsidRPr="0037770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későbbi visszakereshetőség</w:t>
            </w:r>
          </w:p>
        </w:tc>
        <w:tc>
          <w:tcPr>
            <w:tcW w:w="2126" w:type="dxa"/>
            <w:vMerge/>
          </w:tcPr>
          <w:p w14:paraId="781A0784" w14:textId="77777777" w:rsidR="00351A1E" w:rsidRPr="00377707" w:rsidRDefault="00351A1E" w:rsidP="00AC0D27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C0D27" w:rsidRPr="00377707" w14:paraId="1EA34053" w14:textId="77777777" w:rsidTr="00614F99">
        <w:trPr>
          <w:trHeight w:val="330"/>
        </w:trPr>
        <w:tc>
          <w:tcPr>
            <w:tcW w:w="4106" w:type="dxa"/>
            <w:shd w:val="pct10" w:color="auto" w:fill="auto"/>
            <w:noWrap/>
            <w:vAlign w:val="center"/>
          </w:tcPr>
          <w:p w14:paraId="68171689" w14:textId="77777777" w:rsidR="00AC0D27" w:rsidRPr="00377707" w:rsidRDefault="00AC0D27" w:rsidP="00AC0D27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Mennyi ideig tart az adatkezelés?</w:t>
            </w:r>
          </w:p>
        </w:tc>
        <w:tc>
          <w:tcPr>
            <w:tcW w:w="4961" w:type="dxa"/>
            <w:gridSpan w:val="2"/>
          </w:tcPr>
          <w:p w14:paraId="2A72EA5D" w14:textId="77777777" w:rsidR="00AC0D27" w:rsidRPr="00377707" w:rsidRDefault="00AC0D27" w:rsidP="00AC0D27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377707">
              <w:rPr>
                <w:rFonts w:asciiTheme="minorHAnsi" w:eastAsia="Calibri" w:hAnsiTheme="minorHAnsi" w:cstheme="minorHAnsi"/>
                <w:color w:val="000000"/>
              </w:rPr>
              <w:t xml:space="preserve">alapvetően a nyereményjáték </w:t>
            </w:r>
            <w:proofErr w:type="spellStart"/>
            <w:r w:rsidRPr="00377707">
              <w:rPr>
                <w:rFonts w:asciiTheme="minorHAnsi" w:eastAsia="Calibri" w:hAnsiTheme="minorHAnsi" w:cstheme="minorHAnsi"/>
                <w:color w:val="000000"/>
              </w:rPr>
              <w:t>lezárultáig</w:t>
            </w:r>
            <w:proofErr w:type="spellEnd"/>
          </w:p>
          <w:p w14:paraId="58C87E54" w14:textId="1595B659" w:rsidR="00AC0D27" w:rsidRPr="00377707" w:rsidRDefault="00AC0D27" w:rsidP="00AC0D27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Theme="minorHAnsi" w:eastAsiaTheme="minorHAnsi" w:hAnsiTheme="minorHAnsi" w:cstheme="minorHAnsi"/>
                <w:kern w:val="2"/>
                <w:lang w:eastAsia="en-US"/>
                <w14:ligatures w14:val="standardContextual"/>
              </w:rPr>
            </w:pPr>
            <w:r w:rsidRPr="00377707">
              <w:rPr>
                <w:rFonts w:asciiTheme="minorHAnsi" w:eastAsia="Calibri" w:hAnsiTheme="minorHAnsi" w:cstheme="minorHAnsi"/>
                <w:color w:val="000000"/>
              </w:rPr>
              <w:t>amennyiben adózási jogszabályi rendelkezések miatt szükséges az adatok megőrzése, úgy adójogi elévülési időben (5 évig) történik az adatkezelés (tárolás)</w:t>
            </w:r>
          </w:p>
        </w:tc>
      </w:tr>
      <w:tr w:rsidR="00AC0D27" w:rsidRPr="00377707" w14:paraId="397B0E7F" w14:textId="77777777" w:rsidTr="00614F99">
        <w:trPr>
          <w:trHeight w:val="330"/>
        </w:trPr>
        <w:tc>
          <w:tcPr>
            <w:tcW w:w="4106" w:type="dxa"/>
            <w:shd w:val="pct10" w:color="auto" w:fill="auto"/>
            <w:noWrap/>
            <w:vAlign w:val="center"/>
          </w:tcPr>
          <w:p w14:paraId="77E76187" w14:textId="77777777" w:rsidR="00AC0D27" w:rsidRPr="00377707" w:rsidRDefault="00AC0D27" w:rsidP="00AC0D27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Történik adatközlés (hozzáférés nyújtás, átadás, továbbítás) harmadik fél számára?</w:t>
            </w:r>
          </w:p>
        </w:tc>
        <w:tc>
          <w:tcPr>
            <w:tcW w:w="4961" w:type="dxa"/>
            <w:gridSpan w:val="2"/>
          </w:tcPr>
          <w:p w14:paraId="02956CC9" w14:textId="5BF8DEBC" w:rsidR="00AC0D27" w:rsidRPr="00377707" w:rsidRDefault="00AC0D27" w:rsidP="00AC0D27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Hatóság, bíróság, adatvédelmi tisztviselő, jogi képviselő, az Adatkezelő átvilágítását végző felé történhet, szükség esetén.</w:t>
            </w:r>
          </w:p>
        </w:tc>
      </w:tr>
      <w:tr w:rsidR="00AC0D27" w:rsidRPr="00377707" w14:paraId="03073462" w14:textId="77777777" w:rsidTr="00614F99">
        <w:trPr>
          <w:trHeight w:val="330"/>
        </w:trPr>
        <w:tc>
          <w:tcPr>
            <w:tcW w:w="4106" w:type="dxa"/>
            <w:shd w:val="pct10" w:color="auto" w:fill="auto"/>
            <w:noWrap/>
            <w:vAlign w:val="center"/>
          </w:tcPr>
          <w:p w14:paraId="40E7EFD0" w14:textId="77777777" w:rsidR="00AC0D27" w:rsidRPr="00377707" w:rsidRDefault="00AC0D27" w:rsidP="00AC0D27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Van igénybe vett adatfeldolgozó?</w:t>
            </w:r>
          </w:p>
        </w:tc>
        <w:tc>
          <w:tcPr>
            <w:tcW w:w="4961" w:type="dxa"/>
            <w:gridSpan w:val="2"/>
          </w:tcPr>
          <w:p w14:paraId="1CE7C898" w14:textId="73A25E34" w:rsidR="00AC0D27" w:rsidRPr="00377707" w:rsidRDefault="00032C63" w:rsidP="00AC0D27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A véletlengenerátort üzemeltető szoftvercég.</w:t>
            </w:r>
          </w:p>
        </w:tc>
      </w:tr>
      <w:tr w:rsidR="00AC0D27" w:rsidRPr="00377707" w14:paraId="77164365" w14:textId="77777777" w:rsidTr="00614F99">
        <w:trPr>
          <w:trHeight w:val="330"/>
        </w:trPr>
        <w:tc>
          <w:tcPr>
            <w:tcW w:w="4106" w:type="dxa"/>
            <w:shd w:val="pct10" w:color="auto" w:fill="auto"/>
            <w:noWrap/>
            <w:vAlign w:val="center"/>
          </w:tcPr>
          <w:p w14:paraId="467139D1" w14:textId="77777777" w:rsidR="00AC0D27" w:rsidRPr="00377707" w:rsidRDefault="00AC0D27" w:rsidP="00AC0D27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Történik automatizált döntéshozatal, profilalkotás?</w:t>
            </w:r>
          </w:p>
        </w:tc>
        <w:tc>
          <w:tcPr>
            <w:tcW w:w="4961" w:type="dxa"/>
            <w:gridSpan w:val="2"/>
          </w:tcPr>
          <w:p w14:paraId="00C3D2D6" w14:textId="77777777" w:rsidR="00AC0D27" w:rsidRPr="00377707" w:rsidRDefault="00AC0D27" w:rsidP="00AC0D27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  <w:t>Nem történik.</w:t>
            </w:r>
          </w:p>
          <w:p w14:paraId="737BFFEE" w14:textId="77777777" w:rsidR="00AC0D27" w:rsidRPr="00377707" w:rsidRDefault="00AC0D27" w:rsidP="00AC0D27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AC0D27" w:rsidRPr="00377707" w14:paraId="679EF358" w14:textId="77777777" w:rsidTr="00665932">
        <w:trPr>
          <w:trHeight w:val="330"/>
        </w:trPr>
        <w:tc>
          <w:tcPr>
            <w:tcW w:w="4106" w:type="dxa"/>
            <w:shd w:val="pct10" w:color="auto" w:fill="auto"/>
            <w:noWrap/>
            <w:vAlign w:val="center"/>
          </w:tcPr>
          <w:p w14:paraId="0DA54DC3" w14:textId="77777777" w:rsidR="00AC0D27" w:rsidRPr="00377707" w:rsidRDefault="00AC0D27" w:rsidP="00AC0D27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Kik jogosultak az adatok megismerésére?</w:t>
            </w:r>
          </w:p>
        </w:tc>
        <w:tc>
          <w:tcPr>
            <w:tcW w:w="4961" w:type="dxa"/>
            <w:gridSpan w:val="2"/>
          </w:tcPr>
          <w:p w14:paraId="19A4F02F" w14:textId="77777777" w:rsidR="00AC0D27" w:rsidRPr="00377707" w:rsidRDefault="00AC0D27" w:rsidP="00AC0D27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Adatkezelő jogosultsággal rendelkező munkavállaló, adatfeldolgozó </w:t>
            </w:r>
            <w:proofErr w:type="gramStart"/>
            <w:r w:rsidRPr="003777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igénybe vétele</w:t>
            </w:r>
            <w:proofErr w:type="gramEnd"/>
            <w:r w:rsidRPr="003777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esetén az adatfeldolgozó jogosultsággal rendelkező munkatársai</w:t>
            </w:r>
          </w:p>
        </w:tc>
      </w:tr>
      <w:tr w:rsidR="00AC0D27" w:rsidRPr="00377707" w14:paraId="43AEC269" w14:textId="77777777" w:rsidTr="00014F36">
        <w:trPr>
          <w:trHeight w:val="330"/>
        </w:trPr>
        <w:tc>
          <w:tcPr>
            <w:tcW w:w="4106" w:type="dxa"/>
            <w:shd w:val="pct10" w:color="auto" w:fill="auto"/>
            <w:noWrap/>
            <w:vAlign w:val="center"/>
          </w:tcPr>
          <w:p w14:paraId="28E7A099" w14:textId="19AD490A" w:rsidR="00AC0D27" w:rsidRPr="00377707" w:rsidRDefault="00AC0D27" w:rsidP="00AC0D27">
            <w:pPr>
              <w:contextualSpacing/>
              <w:jc w:val="both"/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37770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Milyen adatbiztonsági intézkedéseket hajt végre az Adatkezelő?</w:t>
            </w:r>
          </w:p>
        </w:tc>
        <w:tc>
          <w:tcPr>
            <w:tcW w:w="4961" w:type="dxa"/>
            <w:gridSpan w:val="2"/>
          </w:tcPr>
          <w:p w14:paraId="25AC7957" w14:textId="77777777" w:rsidR="00AC0D27" w:rsidRPr="00377707" w:rsidRDefault="00AC0D27" w:rsidP="00AC0D27">
            <w:pPr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37770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Adatkezelő gondoskodik különösen: </w:t>
            </w:r>
          </w:p>
          <w:p w14:paraId="64B7B587" w14:textId="77777777" w:rsidR="00AC0D27" w:rsidRPr="00377707" w:rsidRDefault="00AC0D27" w:rsidP="00AC0D27">
            <w:pPr>
              <w:numPr>
                <w:ilvl w:val="0"/>
                <w:numId w:val="3"/>
              </w:numPr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37770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az adatkezeléshez használt eszközök (a továbbiakban: adatkezelő rendszer) jogosulatlan személyek általi hozzáférésének megtagadásáról, </w:t>
            </w:r>
          </w:p>
          <w:p w14:paraId="76BBDB59" w14:textId="77777777" w:rsidR="00AC0D27" w:rsidRPr="00377707" w:rsidRDefault="00AC0D27" w:rsidP="00AC0D27">
            <w:pPr>
              <w:numPr>
                <w:ilvl w:val="0"/>
                <w:numId w:val="3"/>
              </w:numPr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37770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az adathordozók jogosulatlan olvasásának, másolásának, módosításának vagy eltávolításának megakadályozásáról,</w:t>
            </w:r>
          </w:p>
          <w:p w14:paraId="1FDAE756" w14:textId="77777777" w:rsidR="00AC0D27" w:rsidRPr="00377707" w:rsidRDefault="00AC0D27" w:rsidP="00AC0D27">
            <w:pPr>
              <w:numPr>
                <w:ilvl w:val="0"/>
                <w:numId w:val="3"/>
              </w:numPr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37770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az adatkezelő rendszerbe a személyes adatok jogosulatlan bevitelének, valamint az abban tárolt személyes adatok jogosulatlan megismerésének, módosításának vagy törlésének megakadályozásáról, </w:t>
            </w:r>
          </w:p>
          <w:p w14:paraId="2BE9876A" w14:textId="77777777" w:rsidR="00AC0D27" w:rsidRPr="00377707" w:rsidRDefault="00AC0D27" w:rsidP="00AC0D27">
            <w:pPr>
              <w:numPr>
                <w:ilvl w:val="0"/>
                <w:numId w:val="3"/>
              </w:numPr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37770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az adatkezelő rendszerek jogosulatlan személyek általi, adatátviteli berendezés útján történő használatának megakadályozásáról, </w:t>
            </w:r>
          </w:p>
          <w:p w14:paraId="38FCB7B0" w14:textId="77777777" w:rsidR="00AC0D27" w:rsidRPr="00377707" w:rsidRDefault="00AC0D27" w:rsidP="00AC0D27">
            <w:pPr>
              <w:numPr>
                <w:ilvl w:val="0"/>
                <w:numId w:val="3"/>
              </w:numPr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37770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arról, hogy az adatkezelő rendszer használatára jogosult személyek kizárólag a hozzáférési engedélyben meghatározott személyes adatokhoz férjenek hozzá,</w:t>
            </w:r>
          </w:p>
          <w:p w14:paraId="521FAE08" w14:textId="77777777" w:rsidR="00AC0D27" w:rsidRPr="00377707" w:rsidRDefault="00AC0D27" w:rsidP="00AC0D27">
            <w:pPr>
              <w:numPr>
                <w:ilvl w:val="0"/>
                <w:numId w:val="3"/>
              </w:numPr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37770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arról, hogy ellenőrizhető és megállapítható legyen, hogy a személyes adatokat adatátviteli berendezés útján mely címzettnek továbbították vagy továbbíthatják, illetve bocsátották vagy bocsáthatják rendelkezésére </w:t>
            </w:r>
          </w:p>
          <w:p w14:paraId="2464539B" w14:textId="77777777" w:rsidR="00AC0D27" w:rsidRPr="00377707" w:rsidRDefault="00AC0D27" w:rsidP="00AC0D27">
            <w:pPr>
              <w:numPr>
                <w:ilvl w:val="0"/>
                <w:numId w:val="3"/>
              </w:numPr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37770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arról, hogy utólag ellenőrizhető és megállapítható legyen, hogy mely személyes adatokat, mely időpontban, ki vitt be az adatkezelő rendszerbe</w:t>
            </w:r>
          </w:p>
          <w:p w14:paraId="37E82DF6" w14:textId="77777777" w:rsidR="00AC0D27" w:rsidRPr="00377707" w:rsidRDefault="00AC0D27" w:rsidP="00AC0D27">
            <w:pPr>
              <w:numPr>
                <w:ilvl w:val="0"/>
                <w:numId w:val="3"/>
              </w:numPr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37770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a személyes adatoknak azok továbbítása során vagy az adathordozó szállítása közben történő jogosulatlan megismerésének, </w:t>
            </w:r>
            <w:r w:rsidRPr="0037770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lastRenderedPageBreak/>
              <w:t xml:space="preserve">másolásának, módosításának vagy törlésének megakadályozásáról </w:t>
            </w:r>
          </w:p>
          <w:p w14:paraId="3150F867" w14:textId="77777777" w:rsidR="00AC0D27" w:rsidRPr="00377707" w:rsidRDefault="00AC0D27" w:rsidP="00AC0D27">
            <w:pPr>
              <w:numPr>
                <w:ilvl w:val="0"/>
                <w:numId w:val="3"/>
              </w:numPr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37770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arról, hogy üzemzavar esetén az adatkezelő rendszer helyreállítható legyen.</w:t>
            </w:r>
          </w:p>
          <w:p w14:paraId="5908DA62" w14:textId="7640DC51" w:rsidR="00AC0D27" w:rsidRPr="00377707" w:rsidRDefault="00AC0D27" w:rsidP="00AC0D27">
            <w:pPr>
              <w:numPr>
                <w:ilvl w:val="0"/>
                <w:numId w:val="3"/>
              </w:numPr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37770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arról, hogy az adatkezelő rendszer működőképes legyen, a működése során fellépő hibákról jelentés készüljön, továbbá a tárolt személyes adatokat a rendszer hibás működtetésével sem lehessen megváltoztatni.</w:t>
            </w:r>
          </w:p>
        </w:tc>
      </w:tr>
      <w:tr w:rsidR="00AC0D27" w:rsidRPr="00377707" w14:paraId="0160B1BD" w14:textId="77777777" w:rsidTr="00377707">
        <w:trPr>
          <w:trHeight w:val="3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59F35BF4" w14:textId="77777777" w:rsidR="00AC0D27" w:rsidRPr="00377707" w:rsidRDefault="00AC0D27" w:rsidP="00AC0D27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7770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Milyen jogai vannak az érintettnek és azokkal hogyan élhet?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B93" w14:textId="77777777" w:rsidR="00AC0D27" w:rsidRPr="00377707" w:rsidRDefault="00AC0D27" w:rsidP="00AC0D27">
            <w:pPr>
              <w:contextualSpacing/>
              <w:jc w:val="both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377707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Az érintett jogai és az adatkezelés kapcsán fent meghatározott jogalap(ok) viszonyát a következő táblázat mutatja be, hogy az érintett számára egyértelmű legyen, hogy az alkalmazott jogalap esetén milyen jogaival élhet. A táblázatot követően az érintett kitanítást kap a jogok tartalmáról és arról, hogy hogyan gyakorolhatja azokat.</w:t>
            </w:r>
          </w:p>
        </w:tc>
      </w:tr>
    </w:tbl>
    <w:p w14:paraId="7376FFA5" w14:textId="77777777" w:rsidR="00531D3C" w:rsidRPr="00377707" w:rsidRDefault="00531D3C" w:rsidP="00531D3C">
      <w:pPr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</w:p>
    <w:tbl>
      <w:tblPr>
        <w:tblStyle w:val="Rcsostblzat33"/>
        <w:tblW w:w="5000" w:type="pct"/>
        <w:tblLook w:val="04A0" w:firstRow="1" w:lastRow="0" w:firstColumn="1" w:lastColumn="0" w:noHBand="0" w:noVBand="1"/>
      </w:tblPr>
      <w:tblGrid>
        <w:gridCol w:w="1163"/>
        <w:gridCol w:w="1222"/>
        <w:gridCol w:w="977"/>
        <w:gridCol w:w="1004"/>
        <w:gridCol w:w="674"/>
        <w:gridCol w:w="917"/>
        <w:gridCol w:w="1191"/>
        <w:gridCol w:w="767"/>
        <w:gridCol w:w="1147"/>
      </w:tblGrid>
      <w:tr w:rsidR="00531D3C" w:rsidRPr="00377707" w14:paraId="56ECF44E" w14:textId="77777777" w:rsidTr="00614F99">
        <w:tc>
          <w:tcPr>
            <w:tcW w:w="642" w:type="pct"/>
            <w:shd w:val="pct10" w:color="auto" w:fill="auto"/>
            <w:vAlign w:val="center"/>
          </w:tcPr>
          <w:p w14:paraId="373A5294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674" w:type="pct"/>
            <w:vAlign w:val="center"/>
          </w:tcPr>
          <w:p w14:paraId="537ED87F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Előzetes tájékozódáshoz való jog</w:t>
            </w:r>
          </w:p>
        </w:tc>
        <w:tc>
          <w:tcPr>
            <w:tcW w:w="539" w:type="pct"/>
            <w:shd w:val="pct10" w:color="auto" w:fill="auto"/>
            <w:vAlign w:val="center"/>
          </w:tcPr>
          <w:p w14:paraId="44446D15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Hozzáférés joga</w:t>
            </w:r>
          </w:p>
        </w:tc>
        <w:tc>
          <w:tcPr>
            <w:tcW w:w="554" w:type="pct"/>
            <w:vAlign w:val="center"/>
          </w:tcPr>
          <w:p w14:paraId="10199C84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Helyesbítés joga</w:t>
            </w:r>
          </w:p>
        </w:tc>
        <w:tc>
          <w:tcPr>
            <w:tcW w:w="372" w:type="pct"/>
            <w:shd w:val="pct10" w:color="auto" w:fill="auto"/>
            <w:vAlign w:val="center"/>
          </w:tcPr>
          <w:p w14:paraId="41963E48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Törlés joga</w:t>
            </w:r>
          </w:p>
        </w:tc>
        <w:tc>
          <w:tcPr>
            <w:tcW w:w="506" w:type="pct"/>
            <w:vAlign w:val="center"/>
          </w:tcPr>
          <w:p w14:paraId="3BE03130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Korlátozás</w:t>
            </w:r>
          </w:p>
        </w:tc>
        <w:tc>
          <w:tcPr>
            <w:tcW w:w="657" w:type="pct"/>
            <w:shd w:val="pct10" w:color="auto" w:fill="auto"/>
            <w:vAlign w:val="center"/>
          </w:tcPr>
          <w:p w14:paraId="22CBE0E5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Adat-hordozhatóság</w:t>
            </w:r>
          </w:p>
        </w:tc>
        <w:tc>
          <w:tcPr>
            <w:tcW w:w="423" w:type="pct"/>
            <w:vAlign w:val="center"/>
          </w:tcPr>
          <w:p w14:paraId="027F7E99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proofErr w:type="spellStart"/>
            <w:r w:rsidRPr="00377707"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Tiltako-zás</w:t>
            </w:r>
            <w:proofErr w:type="spellEnd"/>
          </w:p>
        </w:tc>
        <w:tc>
          <w:tcPr>
            <w:tcW w:w="635" w:type="pct"/>
            <w:shd w:val="pct10" w:color="auto" w:fill="auto"/>
            <w:vAlign w:val="center"/>
          </w:tcPr>
          <w:p w14:paraId="7028590B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Hozzájárulás visszavonása</w:t>
            </w:r>
          </w:p>
        </w:tc>
      </w:tr>
      <w:tr w:rsidR="00531D3C" w:rsidRPr="00377707" w14:paraId="69F86A7E" w14:textId="77777777" w:rsidTr="00614F99">
        <w:tc>
          <w:tcPr>
            <w:tcW w:w="642" w:type="pct"/>
            <w:shd w:val="pct10" w:color="auto" w:fill="auto"/>
            <w:vAlign w:val="center"/>
          </w:tcPr>
          <w:p w14:paraId="5B654819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Hozzájárulás</w:t>
            </w:r>
          </w:p>
        </w:tc>
        <w:tc>
          <w:tcPr>
            <w:tcW w:w="674" w:type="pct"/>
            <w:vAlign w:val="center"/>
          </w:tcPr>
          <w:p w14:paraId="578BD946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14:paraId="2B1B2560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554" w:type="pct"/>
            <w:vAlign w:val="center"/>
          </w:tcPr>
          <w:p w14:paraId="4B75B0A3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14:paraId="7D06321B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506" w:type="pct"/>
            <w:vAlign w:val="center"/>
          </w:tcPr>
          <w:p w14:paraId="71BD2E4A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14:paraId="01A5D016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423" w:type="pct"/>
            <w:vAlign w:val="center"/>
          </w:tcPr>
          <w:p w14:paraId="512C9191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✖</w:t>
            </w:r>
          </w:p>
        </w:tc>
        <w:tc>
          <w:tcPr>
            <w:tcW w:w="635" w:type="pct"/>
            <w:shd w:val="pct10" w:color="auto" w:fill="auto"/>
            <w:vAlign w:val="center"/>
          </w:tcPr>
          <w:p w14:paraId="35D93CA6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</w:tr>
      <w:tr w:rsidR="00531D3C" w:rsidRPr="00377707" w14:paraId="52DC23BF" w14:textId="77777777" w:rsidTr="00614F99">
        <w:tc>
          <w:tcPr>
            <w:tcW w:w="642" w:type="pct"/>
            <w:shd w:val="pct10" w:color="auto" w:fill="auto"/>
            <w:vAlign w:val="center"/>
          </w:tcPr>
          <w:p w14:paraId="7A1A5AD5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Megállapodás</w:t>
            </w:r>
          </w:p>
        </w:tc>
        <w:tc>
          <w:tcPr>
            <w:tcW w:w="674" w:type="pct"/>
            <w:vAlign w:val="center"/>
          </w:tcPr>
          <w:p w14:paraId="601B8F45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14:paraId="1C542781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554" w:type="pct"/>
            <w:vAlign w:val="center"/>
          </w:tcPr>
          <w:p w14:paraId="637C46BE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14:paraId="31B2E0C8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506" w:type="pct"/>
            <w:vAlign w:val="center"/>
          </w:tcPr>
          <w:p w14:paraId="366638DD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14:paraId="0AA058D2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423" w:type="pct"/>
            <w:vAlign w:val="center"/>
          </w:tcPr>
          <w:p w14:paraId="447C1E4C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✖</w:t>
            </w:r>
          </w:p>
        </w:tc>
        <w:tc>
          <w:tcPr>
            <w:tcW w:w="635" w:type="pct"/>
            <w:shd w:val="pct10" w:color="auto" w:fill="auto"/>
            <w:vAlign w:val="center"/>
          </w:tcPr>
          <w:p w14:paraId="68A31150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✖</w:t>
            </w:r>
          </w:p>
        </w:tc>
      </w:tr>
      <w:tr w:rsidR="00531D3C" w:rsidRPr="00377707" w14:paraId="25425716" w14:textId="77777777" w:rsidTr="00614F99">
        <w:tc>
          <w:tcPr>
            <w:tcW w:w="642" w:type="pct"/>
            <w:shd w:val="pct10" w:color="auto" w:fill="auto"/>
            <w:vAlign w:val="center"/>
          </w:tcPr>
          <w:p w14:paraId="62542FA0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Jogi kötelezettség</w:t>
            </w:r>
          </w:p>
        </w:tc>
        <w:tc>
          <w:tcPr>
            <w:tcW w:w="674" w:type="pct"/>
            <w:vAlign w:val="center"/>
          </w:tcPr>
          <w:p w14:paraId="52B3F3C7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14:paraId="5C9BED49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554" w:type="pct"/>
            <w:vAlign w:val="center"/>
          </w:tcPr>
          <w:p w14:paraId="64EAFB1C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14:paraId="25B04919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✖</w:t>
            </w:r>
          </w:p>
        </w:tc>
        <w:tc>
          <w:tcPr>
            <w:tcW w:w="506" w:type="pct"/>
            <w:vAlign w:val="center"/>
          </w:tcPr>
          <w:p w14:paraId="76F11B72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14:paraId="1AB6DCAD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✖</w:t>
            </w:r>
          </w:p>
        </w:tc>
        <w:tc>
          <w:tcPr>
            <w:tcW w:w="423" w:type="pct"/>
            <w:vAlign w:val="center"/>
          </w:tcPr>
          <w:p w14:paraId="743CA0DA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✖</w:t>
            </w:r>
          </w:p>
        </w:tc>
        <w:tc>
          <w:tcPr>
            <w:tcW w:w="635" w:type="pct"/>
            <w:shd w:val="pct10" w:color="auto" w:fill="auto"/>
            <w:vAlign w:val="center"/>
          </w:tcPr>
          <w:p w14:paraId="54F3BA63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✖</w:t>
            </w:r>
          </w:p>
        </w:tc>
      </w:tr>
      <w:tr w:rsidR="00531D3C" w:rsidRPr="00377707" w14:paraId="7D3ED114" w14:textId="77777777" w:rsidTr="00614F99">
        <w:tc>
          <w:tcPr>
            <w:tcW w:w="642" w:type="pct"/>
            <w:shd w:val="pct10" w:color="auto" w:fill="auto"/>
            <w:vAlign w:val="center"/>
          </w:tcPr>
          <w:p w14:paraId="7D13A8C7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Létfontosságú érdek</w:t>
            </w:r>
          </w:p>
        </w:tc>
        <w:tc>
          <w:tcPr>
            <w:tcW w:w="674" w:type="pct"/>
            <w:vAlign w:val="center"/>
          </w:tcPr>
          <w:p w14:paraId="763EC690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14:paraId="61546E48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554" w:type="pct"/>
            <w:vAlign w:val="center"/>
          </w:tcPr>
          <w:p w14:paraId="7F17B69D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14:paraId="4BC5ABE8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506" w:type="pct"/>
            <w:vAlign w:val="center"/>
          </w:tcPr>
          <w:p w14:paraId="7960BB52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14:paraId="0EFF230A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✖</w:t>
            </w:r>
          </w:p>
        </w:tc>
        <w:tc>
          <w:tcPr>
            <w:tcW w:w="423" w:type="pct"/>
            <w:vAlign w:val="center"/>
          </w:tcPr>
          <w:p w14:paraId="6CEFFFFC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✖</w:t>
            </w:r>
          </w:p>
        </w:tc>
        <w:tc>
          <w:tcPr>
            <w:tcW w:w="635" w:type="pct"/>
            <w:shd w:val="pct10" w:color="auto" w:fill="auto"/>
            <w:vAlign w:val="center"/>
          </w:tcPr>
          <w:p w14:paraId="4E3C6014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✖</w:t>
            </w:r>
          </w:p>
        </w:tc>
      </w:tr>
      <w:tr w:rsidR="00531D3C" w:rsidRPr="00377707" w14:paraId="667E4A8F" w14:textId="77777777" w:rsidTr="00614F99">
        <w:tc>
          <w:tcPr>
            <w:tcW w:w="642" w:type="pct"/>
            <w:shd w:val="pct10" w:color="auto" w:fill="auto"/>
            <w:vAlign w:val="center"/>
          </w:tcPr>
          <w:p w14:paraId="6DE7E918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Közfeladat, közhatalmi jog.</w:t>
            </w:r>
          </w:p>
        </w:tc>
        <w:tc>
          <w:tcPr>
            <w:tcW w:w="674" w:type="pct"/>
            <w:vAlign w:val="center"/>
          </w:tcPr>
          <w:p w14:paraId="74E62F3B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14:paraId="3DAEF1D4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554" w:type="pct"/>
            <w:vAlign w:val="center"/>
          </w:tcPr>
          <w:p w14:paraId="7B80348B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14:paraId="006CB33C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✖</w:t>
            </w:r>
          </w:p>
        </w:tc>
        <w:tc>
          <w:tcPr>
            <w:tcW w:w="506" w:type="pct"/>
            <w:vAlign w:val="center"/>
          </w:tcPr>
          <w:p w14:paraId="6524A64A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14:paraId="4A0C4624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✖</w:t>
            </w:r>
          </w:p>
        </w:tc>
        <w:tc>
          <w:tcPr>
            <w:tcW w:w="423" w:type="pct"/>
            <w:vAlign w:val="center"/>
          </w:tcPr>
          <w:p w14:paraId="53EBAF8A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635" w:type="pct"/>
            <w:shd w:val="pct10" w:color="auto" w:fill="auto"/>
            <w:vAlign w:val="center"/>
          </w:tcPr>
          <w:p w14:paraId="13BA2085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✖</w:t>
            </w:r>
          </w:p>
        </w:tc>
      </w:tr>
      <w:tr w:rsidR="00531D3C" w:rsidRPr="00377707" w14:paraId="51F745D7" w14:textId="77777777" w:rsidTr="00614F99">
        <w:tc>
          <w:tcPr>
            <w:tcW w:w="642" w:type="pct"/>
            <w:shd w:val="pct10" w:color="auto" w:fill="auto"/>
            <w:vAlign w:val="center"/>
          </w:tcPr>
          <w:p w14:paraId="15FF2B4A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  <w:t>Jogos érdek</w:t>
            </w:r>
          </w:p>
        </w:tc>
        <w:tc>
          <w:tcPr>
            <w:tcW w:w="674" w:type="pct"/>
            <w:vAlign w:val="center"/>
          </w:tcPr>
          <w:p w14:paraId="792C7977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539" w:type="pct"/>
            <w:shd w:val="pct10" w:color="auto" w:fill="auto"/>
            <w:vAlign w:val="center"/>
          </w:tcPr>
          <w:p w14:paraId="3A3CC44A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554" w:type="pct"/>
            <w:vAlign w:val="center"/>
          </w:tcPr>
          <w:p w14:paraId="484320AD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372" w:type="pct"/>
            <w:shd w:val="pct10" w:color="auto" w:fill="auto"/>
            <w:vAlign w:val="center"/>
          </w:tcPr>
          <w:p w14:paraId="524965DD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506" w:type="pct"/>
            <w:vAlign w:val="center"/>
          </w:tcPr>
          <w:p w14:paraId="64D5A108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657" w:type="pct"/>
            <w:shd w:val="pct10" w:color="auto" w:fill="auto"/>
            <w:vAlign w:val="center"/>
          </w:tcPr>
          <w:p w14:paraId="728F9043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✖</w:t>
            </w:r>
          </w:p>
        </w:tc>
        <w:tc>
          <w:tcPr>
            <w:tcW w:w="423" w:type="pct"/>
            <w:vAlign w:val="center"/>
          </w:tcPr>
          <w:p w14:paraId="089E4AD0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✔</w:t>
            </w:r>
          </w:p>
        </w:tc>
        <w:tc>
          <w:tcPr>
            <w:tcW w:w="635" w:type="pct"/>
            <w:shd w:val="pct10" w:color="auto" w:fill="auto"/>
            <w:vAlign w:val="center"/>
          </w:tcPr>
          <w:p w14:paraId="3BA8B367" w14:textId="77777777" w:rsidR="00531D3C" w:rsidRPr="00377707" w:rsidRDefault="00531D3C" w:rsidP="00614F99">
            <w:pPr>
              <w:jc w:val="both"/>
              <w:rPr>
                <w:rFonts w:asciiTheme="minorHAnsi" w:eastAsiaTheme="minorHAnsi" w:hAnsiTheme="minorHAnsi" w:cstheme="minorHAnsi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377707">
              <w:rPr>
                <w:rFonts w:ascii="Segoe UI Symbol" w:eastAsiaTheme="minorHAnsi" w:hAnsi="Segoe UI Symbol" w:cs="Segoe UI Symbol"/>
                <w:kern w:val="2"/>
                <w:sz w:val="16"/>
                <w:szCs w:val="16"/>
                <w:lang w:eastAsia="en-US"/>
                <w14:ligatures w14:val="standardContextual"/>
              </w:rPr>
              <w:t>✖</w:t>
            </w:r>
          </w:p>
        </w:tc>
      </w:tr>
    </w:tbl>
    <w:p w14:paraId="163F37A1" w14:textId="77777777" w:rsidR="00531D3C" w:rsidRPr="00377707" w:rsidRDefault="00531D3C" w:rsidP="00531D3C">
      <w:pPr>
        <w:spacing w:line="276" w:lineRule="auto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</w:p>
    <w:p w14:paraId="0D5684C6" w14:textId="54927E72" w:rsidR="0000759C" w:rsidRPr="00377707" w:rsidRDefault="00531D3C" w:rsidP="0000759C">
      <w:pPr>
        <w:contextualSpacing/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Érintett jogaival (hozzáférés, helyesbítés, törlés, elfeledtetés, korlátozás, adathordozhatóság joga, tiltakozás joga, hozzájárulás visszavonásának joga) az Adatkezelő, vagy az adatvédelmi tisztviselő fenti elérhetőségeinek bármelyikére küldött kérelemmel élhet, továbbá panasszal fordulhat a hatósághoz (Nemzeti Adatvédelmi és Információszabadság Hatóság, cím: 1055 Budapest, Falk Miksa utca 9-11., levelezési cím: 1363 Budapest, Pf. 9., Telefon: +36 (1) 391-1400, Fax: +36 (1) 391-1410, </w:t>
      </w:r>
      <w:proofErr w:type="spellStart"/>
      <w:r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www</w:t>
      </w:r>
      <w:proofErr w:type="spellEnd"/>
      <w:r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: </w:t>
      </w:r>
      <w:hyperlink r:id="rId9" w:history="1">
        <w:r w:rsidRPr="00377707">
          <w:rPr>
            <w:rFonts w:asciiTheme="minorHAnsi" w:eastAsiaTheme="minorHAnsi" w:hAnsiTheme="minorHAnsi" w:cstheme="minorHAnsi"/>
            <w:kern w:val="2"/>
            <w:sz w:val="24"/>
            <w:szCs w:val="24"/>
            <w:lang w:eastAsia="en-US"/>
            <w14:ligatures w14:val="standardContextual"/>
          </w:rPr>
          <w:t>http://www.naih.hu</w:t>
        </w:r>
      </w:hyperlink>
      <w:r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, e-mail: ugyfelszolgalat@naih.hu), és ha megítélése szerint megsértették jogait, vagy kára származott, úgy fordulhat a lakóhelye szerint illetékes bírósághoz.</w:t>
      </w:r>
    </w:p>
    <w:p w14:paraId="59775AF8" w14:textId="77777777" w:rsidR="0000759C" w:rsidRPr="00377707" w:rsidRDefault="0000759C" w:rsidP="0000759C">
      <w:pPr>
        <w:contextualSpacing/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</w:p>
    <w:p w14:paraId="05861AE3" w14:textId="4E0C92D8" w:rsidR="0000759C" w:rsidRPr="00377707" w:rsidRDefault="0000759C" w:rsidP="0000759C">
      <w:pPr>
        <w:contextualSpacing/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Lezárva: 202</w:t>
      </w:r>
      <w:r w:rsidR="00377707"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5</w:t>
      </w:r>
      <w:r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="00377707"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04</w:t>
      </w:r>
      <w:r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="00377707"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28</w:t>
      </w:r>
      <w:r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.</w:t>
      </w:r>
    </w:p>
    <w:p w14:paraId="6EBB380A" w14:textId="281A795F" w:rsidR="0000759C" w:rsidRPr="00377707" w:rsidRDefault="0000759C" w:rsidP="0000759C">
      <w:pPr>
        <w:contextualSpacing/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377707"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Verzió: 1.0</w:t>
      </w:r>
    </w:p>
    <w:sectPr w:rsidR="0000759C" w:rsidRPr="003777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FAFF" w14:textId="77777777" w:rsidR="003E7327" w:rsidRDefault="003E7327" w:rsidP="00C131A9">
      <w:r>
        <w:separator/>
      </w:r>
    </w:p>
  </w:endnote>
  <w:endnote w:type="continuationSeparator" w:id="0">
    <w:p w14:paraId="7E6D795D" w14:textId="77777777" w:rsidR="003E7327" w:rsidRDefault="003E7327" w:rsidP="00C1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42759" w14:textId="77777777" w:rsidR="003E7327" w:rsidRDefault="003E7327" w:rsidP="00C131A9">
      <w:r>
        <w:separator/>
      </w:r>
    </w:p>
  </w:footnote>
  <w:footnote w:type="continuationSeparator" w:id="0">
    <w:p w14:paraId="7B64B2E4" w14:textId="77777777" w:rsidR="003E7327" w:rsidRDefault="003E7327" w:rsidP="00C1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0EF9" w14:textId="3641E9DF" w:rsidR="00C131A9" w:rsidRDefault="00C131A9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B5D240" wp14:editId="08AFA731">
          <wp:simplePos x="0" y="0"/>
          <wp:positionH relativeFrom="margin">
            <wp:posOffset>4238625</wp:posOffset>
          </wp:positionH>
          <wp:positionV relativeFrom="paragraph">
            <wp:posOffset>66040</wp:posOffset>
          </wp:positionV>
          <wp:extent cx="1485900" cy="379284"/>
          <wp:effectExtent l="0" t="0" r="0" b="1905"/>
          <wp:wrapThrough wrapText="bothSides">
            <wp:wrapPolygon edited="0">
              <wp:start x="8308" y="0"/>
              <wp:lineTo x="0" y="2171"/>
              <wp:lineTo x="0" y="19538"/>
              <wp:lineTo x="7477" y="20623"/>
              <wp:lineTo x="21323" y="20623"/>
              <wp:lineTo x="21323" y="0"/>
              <wp:lineTo x="8308" y="0"/>
            </wp:wrapPolygon>
          </wp:wrapThrough>
          <wp:docPr id="138217448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9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B350B"/>
    <w:multiLevelType w:val="hybridMultilevel"/>
    <w:tmpl w:val="54C44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560C0"/>
    <w:multiLevelType w:val="hybridMultilevel"/>
    <w:tmpl w:val="F1B69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63982"/>
    <w:multiLevelType w:val="hybridMultilevel"/>
    <w:tmpl w:val="D7D220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870779">
    <w:abstractNumId w:val="0"/>
  </w:num>
  <w:num w:numId="2" w16cid:durableId="409423195">
    <w:abstractNumId w:val="1"/>
  </w:num>
  <w:num w:numId="3" w16cid:durableId="200671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3C"/>
    <w:rsid w:val="0000759C"/>
    <w:rsid w:val="00031EF6"/>
    <w:rsid w:val="00032C63"/>
    <w:rsid w:val="000B6E00"/>
    <w:rsid w:val="000E054B"/>
    <w:rsid w:val="001508D0"/>
    <w:rsid w:val="00161B9A"/>
    <w:rsid w:val="001F5419"/>
    <w:rsid w:val="002445E6"/>
    <w:rsid w:val="00253039"/>
    <w:rsid w:val="002D16AD"/>
    <w:rsid w:val="00351A1E"/>
    <w:rsid w:val="003535B8"/>
    <w:rsid w:val="00377707"/>
    <w:rsid w:val="003E1056"/>
    <w:rsid w:val="003E7327"/>
    <w:rsid w:val="004C7F9C"/>
    <w:rsid w:val="0051053A"/>
    <w:rsid w:val="00531D3C"/>
    <w:rsid w:val="0054024B"/>
    <w:rsid w:val="00670137"/>
    <w:rsid w:val="00681A29"/>
    <w:rsid w:val="006B0240"/>
    <w:rsid w:val="00706A52"/>
    <w:rsid w:val="007576E8"/>
    <w:rsid w:val="00765363"/>
    <w:rsid w:val="00780E38"/>
    <w:rsid w:val="007929BA"/>
    <w:rsid w:val="007F428A"/>
    <w:rsid w:val="008E26C4"/>
    <w:rsid w:val="00931AFC"/>
    <w:rsid w:val="009B5E5D"/>
    <w:rsid w:val="009D5C73"/>
    <w:rsid w:val="00A55FA3"/>
    <w:rsid w:val="00AB3E61"/>
    <w:rsid w:val="00AC0D27"/>
    <w:rsid w:val="00BA6EDE"/>
    <w:rsid w:val="00BC3982"/>
    <w:rsid w:val="00BC6746"/>
    <w:rsid w:val="00C1316A"/>
    <w:rsid w:val="00C131A9"/>
    <w:rsid w:val="00C71628"/>
    <w:rsid w:val="00CD2630"/>
    <w:rsid w:val="00DA7BA8"/>
    <w:rsid w:val="00DD2718"/>
    <w:rsid w:val="00ED6F36"/>
    <w:rsid w:val="00F2313C"/>
    <w:rsid w:val="00F24EFC"/>
    <w:rsid w:val="00F37AFB"/>
    <w:rsid w:val="00FB34CB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2939"/>
  <w15:chartTrackingRefBased/>
  <w15:docId w15:val="{2A31E160-D8BF-4BE5-B9DB-46E2FFBD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31D3C"/>
    <w:rPr>
      <w:color w:val="0563C1"/>
      <w:u w:val="single"/>
    </w:rPr>
  </w:style>
  <w:style w:type="table" w:customStyle="1" w:styleId="Rcsostblzat33">
    <w:name w:val="Rácsos táblázat33"/>
    <w:basedOn w:val="Normltblzat"/>
    <w:next w:val="Rcsostblzat"/>
    <w:uiPriority w:val="39"/>
    <w:rsid w:val="00531D3C"/>
    <w:pPr>
      <w:spacing w:after="200" w:line="276" w:lineRule="auto"/>
    </w:pPr>
    <w:rPr>
      <w:rFonts w:ascii="Calibri" w:eastAsia="Calibri" w:hAnsi="Calibri" w:cs="Times New Roman"/>
      <w:sz w:val="24"/>
      <w:szCs w:val="24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csostblzat">
    <w:name w:val="Table Grid"/>
    <w:basedOn w:val="Normltblzat"/>
    <w:uiPriority w:val="39"/>
    <w:rsid w:val="0053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ED6F3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C131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31A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131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31A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71628"/>
    <w:pPr>
      <w:spacing w:after="200" w:line="276" w:lineRule="auto"/>
      <w:ind w:left="720"/>
      <w:contextualSpacing/>
    </w:pPr>
    <w:rPr>
      <w:rFonts w:ascii="Century Gothic" w:hAnsi="Century Gothic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701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70137"/>
  </w:style>
  <w:style w:type="character" w:customStyle="1" w:styleId="JegyzetszvegChar">
    <w:name w:val="Jegyzetszöveg Char"/>
    <w:basedOn w:val="Bekezdsalapbettpusa"/>
    <w:link w:val="Jegyzetszveg"/>
    <w:uiPriority w:val="99"/>
    <w:rsid w:val="0067013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01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013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bolcskei.krisztian@adatvedelmiauditor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irent@profiren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ih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755</Words>
  <Characters>5211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Károlyi Vilmos</dc:creator>
  <cp:keywords/>
  <dc:description/>
  <cp:lastModifiedBy>Bräutigam Kitti</cp:lastModifiedBy>
  <cp:revision>5</cp:revision>
  <dcterms:created xsi:type="dcterms:W3CDTF">2025-04-30T18:06:00Z</dcterms:created>
  <dcterms:modified xsi:type="dcterms:W3CDTF">2025-05-05T07:22:00Z</dcterms:modified>
</cp:coreProperties>
</file>